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附件一</w:t>
      </w:r>
    </w:p>
    <w:p>
      <w:pPr>
        <w:pStyle w:val="4"/>
        <w:widowControl w:val="0"/>
        <w:spacing w:before="312" w:beforeLines="100" w:after="156" w:afterLines="50" w:line="530" w:lineRule="exact"/>
        <w:ind w:left="0"/>
        <w:jc w:val="center"/>
        <w:rPr>
          <w:rFonts w:hint="eastAsia" w:ascii="方正小标宋简体" w:hAnsi="华文中宋" w:eastAsia="方正小标宋简体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kern w:val="2"/>
          <w:sz w:val="36"/>
          <w:szCs w:val="36"/>
        </w:rPr>
        <w:t>第四期煤炭流通业务培训班培训内容</w:t>
      </w:r>
      <w:bookmarkEnd w:id="0"/>
    </w:p>
    <w:tbl>
      <w:tblPr>
        <w:tblStyle w:val="2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9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课程要点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当前煤炭经济运行特点及发展走势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1、当前煤炭经济运行形势、特点与主要问题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2、明年煤炭经济发展趋势预测与分析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企业碳资产管理策略与实践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1、中国碳排放相关政策背景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2、中国碳排放权交易市场建设与发展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3、CCER开发流程及抵消细则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4、企业碳资产管理体系建设与典型案例解析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煤炭物流业务理论与实践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1、中国煤炭物流的整体格局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2、煤炭陆运物流操作流程及要点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3、煤炭水运物流操作流程及要点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进口煤业务理论与实践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1、进口煤业务基础知识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2、现阶段主要煤炭进口国资源分布、用途及流向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3、各主要进口国煤炭进口商务、物流等操作要点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4、进口煤主要风险管理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煤炭质量检测业务解析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1、煤炭的起源与分类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2、港口煤炭品种详细解读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3、煤质检测报告及操作要点解读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4、煤质检测过程中的风险及应对策略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煤炭供应链金融业务理论与实践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1、供应链金融业务的主要类型及适用场景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2、供应链金融业务各主要产品的操作要点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3、供应链金融业务的风险管理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金融衍生工具在煤炭流通中的应用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1、期货、期权基础知识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2、套期保值的理论与实践操作要点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3、利用期货、期权创新交易模式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4、具体案例分析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58125A-D6CF-4545-9EED-90757A51A8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771D7D4-1AB3-4122-83C7-AFB1884C099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E7EF1C0-E275-412E-9214-38062352626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5465809-CCE7-4759-9A34-E0587C1D8D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B6C34"/>
    <w:rsid w:val="69E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99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2021-10-22T01:32:00Z</dcterms:created>
  <dc:creator>Oum</dc:creator>
  <cp:lastModifiedBy>Oum</cp:lastModifiedBy>
  <dcterms:modified xsi:type="dcterms:W3CDTF">2021-10-22T01:33:30Z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0D56CBE27956432286D9DBC71470F07B</vt:lpwstr>
  </property>
</Properties>
</file>